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421"/>
        <w:gridCol w:w="2676"/>
        <w:gridCol w:w="1440"/>
        <w:gridCol w:w="180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财务岗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以后出生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财务管理 或者 财务信息管理 或者 会计 或者 大数据与会计 或者 涉外会计 或者 财务电算化 或者 会计与审计 或者 会计信息管理 或者 会计信息技术 或者 会计学 或者 会计电算化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具备初级会计师职称，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年及以上工作经验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工资福利待遇面议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3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备注：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val="en-US" w:eastAsia="zh-CN"/>
        </w:rPr>
        <w:t>参加工作年限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以社保缴费记录为准。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022E1AF0"/>
    <w:rsid w:val="022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2024-02-19T03:18:00Z</dcterms:created>
  <dc:creator>WPS_1612438671</dc:creator>
  <cp:lastModifiedBy>WPS_1612438671</cp:lastModifiedBy>
  <dcterms:modified xsi:type="dcterms:W3CDTF">2024-02-19T03:19:27Z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B7E639C45A07443AABCB2DF78C0A110A_11</vt:lpwstr>
  </property>
</Properties>
</file>